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D5E27" w14:textId="77777777" w:rsidR="00980AB4" w:rsidRPr="00DA1785" w:rsidRDefault="00980AB4" w:rsidP="00980AB4">
      <w:pPr>
        <w:rPr>
          <w:rFonts w:ascii="Tw Cen MT" w:hAnsi="Tw Cen MT" w:cs="Tahoma"/>
          <w:szCs w:val="24"/>
        </w:rPr>
      </w:pPr>
      <w:r>
        <w:rPr>
          <w:rFonts w:ascii="Tw Cen MT" w:hAnsi="Tw Cen MT" w:cs="Tahoma"/>
          <w:szCs w:val="24"/>
        </w:rPr>
        <w:t>May 14, 2024</w:t>
      </w:r>
    </w:p>
    <w:p w14:paraId="458652E9" w14:textId="77777777" w:rsidR="0075282A" w:rsidRDefault="0075282A" w:rsidP="00980AB4">
      <w:pPr>
        <w:rPr>
          <w:rFonts w:ascii="Tw Cen MT" w:hAnsi="Tw Cen MT" w:cs="Tahoma"/>
          <w:b/>
          <w:szCs w:val="24"/>
        </w:rPr>
      </w:pPr>
    </w:p>
    <w:p w14:paraId="24A67339" w14:textId="7BE61A27" w:rsidR="00980AB4" w:rsidRPr="00465108" w:rsidRDefault="00980AB4" w:rsidP="00980AB4">
      <w:pPr>
        <w:rPr>
          <w:rFonts w:ascii="Tw Cen MT" w:hAnsi="Tw Cen MT" w:cs="Tahoma"/>
          <w:b/>
          <w:szCs w:val="24"/>
        </w:rPr>
      </w:pPr>
      <w:r w:rsidRPr="00465108">
        <w:rPr>
          <w:rFonts w:ascii="Tw Cen MT" w:hAnsi="Tw Cen MT" w:cs="Tahoma"/>
          <w:b/>
          <w:szCs w:val="24"/>
        </w:rPr>
        <w:t xml:space="preserve">Re: </w:t>
      </w:r>
      <w:r>
        <w:rPr>
          <w:rFonts w:ascii="Tw Cen MT" w:hAnsi="Tw Cen MT" w:cs="Tahoma"/>
          <w:b/>
          <w:szCs w:val="24"/>
        </w:rPr>
        <w:t xml:space="preserve">NYSCADV 2024 </w:t>
      </w:r>
      <w:r w:rsidR="001C4885">
        <w:rPr>
          <w:rFonts w:ascii="Tw Cen MT" w:hAnsi="Tw Cen MT" w:cs="Tahoma"/>
          <w:b/>
          <w:szCs w:val="24"/>
        </w:rPr>
        <w:t xml:space="preserve">Legislative </w:t>
      </w:r>
      <w:r>
        <w:rPr>
          <w:rFonts w:ascii="Tw Cen MT" w:hAnsi="Tw Cen MT" w:cs="Tahoma"/>
          <w:b/>
          <w:szCs w:val="24"/>
        </w:rPr>
        <w:t xml:space="preserve">Day of Action </w:t>
      </w:r>
    </w:p>
    <w:p w14:paraId="209F22B5" w14:textId="77777777" w:rsidR="00980AB4" w:rsidRDefault="00980AB4" w:rsidP="00980AB4">
      <w:pPr>
        <w:rPr>
          <w:rFonts w:ascii="Tw Cen MT" w:hAnsi="Tw Cen MT" w:cs="Tahoma"/>
          <w:szCs w:val="24"/>
          <w:highlight w:val="yellow"/>
        </w:rPr>
      </w:pPr>
    </w:p>
    <w:p w14:paraId="14033ACB" w14:textId="77777777" w:rsidR="00980AB4" w:rsidRDefault="00980AB4" w:rsidP="00980AB4">
      <w:pPr>
        <w:rPr>
          <w:rFonts w:ascii="Tw Cen MT" w:hAnsi="Tw Cen MT" w:cs="Tahoma"/>
          <w:szCs w:val="24"/>
        </w:rPr>
      </w:pPr>
    </w:p>
    <w:p w14:paraId="5AF34AB2" w14:textId="77777777" w:rsidR="00980AB4" w:rsidRPr="001E4EC3" w:rsidRDefault="00980AB4" w:rsidP="00980AB4">
      <w:pPr>
        <w:rPr>
          <w:rFonts w:ascii="Tw Cen MT" w:hAnsi="Tw Cen MT" w:cs="Tahoma"/>
          <w:szCs w:val="24"/>
        </w:rPr>
      </w:pPr>
      <w:r>
        <w:rPr>
          <w:rFonts w:ascii="Tw Cen MT" w:hAnsi="Tw Cen MT" w:cs="Tahoma"/>
          <w:szCs w:val="24"/>
        </w:rPr>
        <w:t xml:space="preserve">Greetings Legislators! </w:t>
      </w:r>
    </w:p>
    <w:p w14:paraId="42857D69" w14:textId="77777777" w:rsidR="00980AB4" w:rsidRPr="001E4EC3" w:rsidRDefault="00980AB4" w:rsidP="00980AB4">
      <w:pPr>
        <w:rPr>
          <w:rFonts w:ascii="Tw Cen MT" w:hAnsi="Tw Cen MT"/>
          <w:szCs w:val="24"/>
        </w:rPr>
      </w:pPr>
    </w:p>
    <w:p w14:paraId="22EB76B2" w14:textId="5D9E3C3C" w:rsidR="00980AB4" w:rsidRPr="001E4EC3" w:rsidRDefault="00980AB4" w:rsidP="00980AB4">
      <w:pPr>
        <w:rPr>
          <w:rFonts w:ascii="Tw Cen MT" w:hAnsi="Tw Cen MT" w:cs="Arial"/>
          <w:bCs/>
          <w:szCs w:val="24"/>
        </w:rPr>
      </w:pPr>
      <w:r w:rsidRPr="001E4EC3">
        <w:rPr>
          <w:rFonts w:ascii="Tw Cen MT" w:hAnsi="Tw Cen MT" w:cs="Arial"/>
          <w:bCs/>
          <w:szCs w:val="24"/>
        </w:rPr>
        <w:t xml:space="preserve">Domestic violence (DV) victim advocates, survivors, allies, and community members </w:t>
      </w:r>
      <w:r w:rsidR="00B8247F">
        <w:rPr>
          <w:rFonts w:ascii="Tw Cen MT" w:hAnsi="Tw Cen MT" w:cs="Arial"/>
          <w:bCs/>
          <w:szCs w:val="24"/>
        </w:rPr>
        <w:t xml:space="preserve">from </w:t>
      </w:r>
      <w:r w:rsidRPr="001E4EC3">
        <w:rPr>
          <w:rFonts w:ascii="Tw Cen MT" w:hAnsi="Tw Cen MT" w:cs="Arial"/>
          <w:bCs/>
          <w:szCs w:val="24"/>
        </w:rPr>
        <w:t>across the state are joining together today for the New York State Coalition Against Domestic Violence’s (NYSCADV’s) 202</w:t>
      </w:r>
      <w:r w:rsidR="00B8247F">
        <w:rPr>
          <w:rFonts w:ascii="Tw Cen MT" w:hAnsi="Tw Cen MT" w:cs="Arial"/>
          <w:bCs/>
          <w:szCs w:val="24"/>
        </w:rPr>
        <w:t>4 D</w:t>
      </w:r>
      <w:r w:rsidRPr="001E4EC3">
        <w:rPr>
          <w:rFonts w:ascii="Tw Cen MT" w:hAnsi="Tw Cen MT" w:cs="Arial"/>
          <w:bCs/>
          <w:szCs w:val="24"/>
        </w:rPr>
        <w:t xml:space="preserve">ay of Action. We are sending </w:t>
      </w:r>
      <w:r w:rsidR="004862C5">
        <w:rPr>
          <w:rFonts w:ascii="Tw Cen MT" w:hAnsi="Tw Cen MT" w:cs="Arial"/>
          <w:bCs/>
          <w:szCs w:val="24"/>
        </w:rPr>
        <w:t xml:space="preserve">this </w:t>
      </w:r>
      <w:r w:rsidRPr="001E4EC3">
        <w:rPr>
          <w:rFonts w:ascii="Tw Cen MT" w:hAnsi="Tw Cen MT" w:cs="Arial"/>
          <w:bCs/>
          <w:szCs w:val="24"/>
        </w:rPr>
        <w:t xml:space="preserve">resounding message to state lawmakers: </w:t>
      </w:r>
      <w:r w:rsidRPr="001E4EC3">
        <w:rPr>
          <w:rFonts w:ascii="Tw Cen MT" w:hAnsi="Tw Cen MT" w:cs="Arial"/>
          <w:b/>
          <w:szCs w:val="24"/>
        </w:rPr>
        <w:t xml:space="preserve">Thousands of New Yorkers experience domestic violence every day. </w:t>
      </w:r>
      <w:r w:rsidR="00DB69BE">
        <w:rPr>
          <w:rFonts w:ascii="Tw Cen MT" w:hAnsi="Tw Cen MT" w:cs="Arial"/>
          <w:b/>
          <w:szCs w:val="24"/>
        </w:rPr>
        <w:t>They require access to resources and services that can help them enhance their own safety, and the safety of their families</w:t>
      </w:r>
      <w:r w:rsidR="00B83F5D">
        <w:rPr>
          <w:rFonts w:ascii="Tw Cen MT" w:hAnsi="Tw Cen MT" w:cs="Arial"/>
          <w:b/>
          <w:szCs w:val="24"/>
        </w:rPr>
        <w:t xml:space="preserve">, and rebuild their lives. By investing in critical, life-sustaining services, legislators can ensure survivors have the support they need to heal and move forward. </w:t>
      </w:r>
    </w:p>
    <w:p w14:paraId="3E353EF7" w14:textId="77777777" w:rsidR="00980AB4" w:rsidRPr="001E4EC3" w:rsidRDefault="00980AB4" w:rsidP="00980AB4">
      <w:pPr>
        <w:rPr>
          <w:rFonts w:ascii="Tw Cen MT" w:hAnsi="Tw Cen MT" w:cs="Arial"/>
          <w:bCs/>
          <w:szCs w:val="24"/>
        </w:rPr>
      </w:pPr>
    </w:p>
    <w:p w14:paraId="1BBD5B54" w14:textId="435ADCBC" w:rsidR="00980AB4" w:rsidRPr="001E4EC3" w:rsidRDefault="00B83F5D" w:rsidP="00980AB4">
      <w:pPr>
        <w:rPr>
          <w:rFonts w:ascii="Tw Cen MT" w:hAnsi="Tw Cen MT"/>
          <w:szCs w:val="24"/>
        </w:rPr>
      </w:pPr>
      <w:r>
        <w:rPr>
          <w:rFonts w:ascii="Tw Cen MT" w:hAnsi="Tw Cen MT" w:cs="Arial"/>
        </w:rPr>
        <w:t xml:space="preserve">Unfortunately, </w:t>
      </w:r>
      <w:r w:rsidR="00980AB4" w:rsidRPr="001E4EC3">
        <w:rPr>
          <w:rFonts w:ascii="Tw Cen MT" w:hAnsi="Tw Cen MT" w:cs="Arial"/>
        </w:rPr>
        <w:t>New York</w:t>
      </w:r>
      <w:r>
        <w:rPr>
          <w:rFonts w:ascii="Tw Cen MT" w:hAnsi="Tw Cen MT" w:cs="Arial"/>
        </w:rPr>
        <w:t xml:space="preserve"> State continues to have</w:t>
      </w:r>
      <w:r w:rsidR="00980AB4" w:rsidRPr="001E4EC3">
        <w:rPr>
          <w:rFonts w:ascii="Tw Cen MT" w:hAnsi="Tw Cen MT" w:cs="Arial"/>
        </w:rPr>
        <w:t xml:space="preserve"> the highest demand for </w:t>
      </w:r>
      <w:r>
        <w:rPr>
          <w:rFonts w:ascii="Tw Cen MT" w:hAnsi="Tw Cen MT" w:cs="Arial"/>
        </w:rPr>
        <w:t xml:space="preserve">domestic violence </w:t>
      </w:r>
      <w:r w:rsidR="00980AB4" w:rsidRPr="001E4EC3">
        <w:rPr>
          <w:rFonts w:ascii="Tw Cen MT" w:hAnsi="Tw Cen MT" w:cs="Arial"/>
        </w:rPr>
        <w:t xml:space="preserve">services in the country. </w:t>
      </w:r>
      <w:r w:rsidR="00980AB4" w:rsidRPr="001E4EC3">
        <w:rPr>
          <w:rFonts w:ascii="Tw Cen MT" w:hAnsi="Tw Cen MT"/>
        </w:rPr>
        <w:t xml:space="preserve">According to the National Network to End Domestic Violence’s national Domestic Violence Counts survey, </w:t>
      </w:r>
      <w:r w:rsidR="00980AB4" w:rsidRPr="001E4EC3">
        <w:rPr>
          <w:rFonts w:ascii="Tw Cen MT" w:hAnsi="Tw Cen MT"/>
          <w:szCs w:val="24"/>
        </w:rPr>
        <w:t>on one day in New York in 202</w:t>
      </w:r>
      <w:r>
        <w:rPr>
          <w:rFonts w:ascii="Tw Cen MT" w:hAnsi="Tw Cen MT"/>
          <w:szCs w:val="24"/>
        </w:rPr>
        <w:t>3</w:t>
      </w:r>
      <w:r w:rsidR="00980AB4" w:rsidRPr="001E4EC3">
        <w:rPr>
          <w:rFonts w:ascii="Tw Cen MT" w:hAnsi="Tw Cen MT"/>
          <w:szCs w:val="24"/>
        </w:rPr>
        <w:t>, 9,</w:t>
      </w:r>
      <w:r w:rsidR="00AE2E5A">
        <w:rPr>
          <w:rFonts w:ascii="Tw Cen MT" w:hAnsi="Tw Cen MT"/>
          <w:szCs w:val="24"/>
        </w:rPr>
        <w:t>411</w:t>
      </w:r>
      <w:r w:rsidR="00980AB4" w:rsidRPr="001E4EC3">
        <w:rPr>
          <w:rFonts w:ascii="Tw Cen MT" w:hAnsi="Tw Cen MT"/>
          <w:szCs w:val="24"/>
        </w:rPr>
        <w:t xml:space="preserve"> adult and child victims of DV received services – a </w:t>
      </w:r>
      <w:r w:rsidR="001B66ED">
        <w:rPr>
          <w:rFonts w:ascii="Tw Cen MT" w:hAnsi="Tw Cen MT"/>
          <w:szCs w:val="24"/>
        </w:rPr>
        <w:t xml:space="preserve">62% </w:t>
      </w:r>
      <w:r w:rsidR="00980AB4" w:rsidRPr="001E4EC3">
        <w:rPr>
          <w:rFonts w:ascii="Tw Cen MT" w:hAnsi="Tw Cen MT"/>
          <w:szCs w:val="24"/>
        </w:rPr>
        <w:t xml:space="preserve">increase </w:t>
      </w:r>
      <w:r w:rsidR="00111129">
        <w:rPr>
          <w:rFonts w:ascii="Tw Cen MT" w:hAnsi="Tw Cen MT"/>
          <w:szCs w:val="24"/>
        </w:rPr>
        <w:t xml:space="preserve">in demand </w:t>
      </w:r>
      <w:r w:rsidR="001B66ED">
        <w:rPr>
          <w:rFonts w:ascii="Tw Cen MT" w:hAnsi="Tw Cen MT"/>
          <w:szCs w:val="24"/>
        </w:rPr>
        <w:t xml:space="preserve">since before the </w:t>
      </w:r>
      <w:r w:rsidR="001C4885">
        <w:rPr>
          <w:rFonts w:ascii="Tw Cen MT" w:hAnsi="Tw Cen MT"/>
          <w:szCs w:val="24"/>
        </w:rPr>
        <w:t>p</w:t>
      </w:r>
      <w:r w:rsidR="001B66ED">
        <w:rPr>
          <w:rFonts w:ascii="Tw Cen MT" w:hAnsi="Tw Cen MT"/>
          <w:szCs w:val="24"/>
        </w:rPr>
        <w:t xml:space="preserve">andemic. </w:t>
      </w:r>
      <w:r w:rsidR="00980AB4" w:rsidRPr="00AE2E5A">
        <w:rPr>
          <w:rFonts w:ascii="Tw Cen MT" w:hAnsi="Tw Cen MT"/>
          <w:b/>
          <w:bCs/>
          <w:szCs w:val="24"/>
        </w:rPr>
        <w:t xml:space="preserve">More troubling, on that same day, </w:t>
      </w:r>
      <w:r w:rsidR="00AE2E5A" w:rsidRPr="00AE2E5A">
        <w:rPr>
          <w:rFonts w:ascii="Tw Cen MT" w:hAnsi="Tw Cen MT"/>
          <w:b/>
          <w:bCs/>
          <w:szCs w:val="24"/>
        </w:rPr>
        <w:t xml:space="preserve">more than </w:t>
      </w:r>
      <w:r w:rsidR="00980AB4" w:rsidRPr="00AE2E5A">
        <w:rPr>
          <w:rFonts w:ascii="Tw Cen MT" w:hAnsi="Tw Cen MT"/>
          <w:b/>
          <w:bCs/>
          <w:szCs w:val="24"/>
        </w:rPr>
        <w:t>1,000 victims did not receive the help they requested due to a lack of resources and staff.</w:t>
      </w:r>
    </w:p>
    <w:p w14:paraId="4A6577F0" w14:textId="77777777" w:rsidR="00980AB4" w:rsidRPr="001E4EC3" w:rsidRDefault="00980AB4" w:rsidP="00980AB4">
      <w:pPr>
        <w:rPr>
          <w:rFonts w:ascii="Tw Cen MT" w:hAnsi="Tw Cen MT" w:cs="Arial"/>
        </w:rPr>
      </w:pPr>
    </w:p>
    <w:p w14:paraId="0B25CC4F" w14:textId="4B96B16B" w:rsidR="00980AB4" w:rsidRPr="00F6660C" w:rsidRDefault="00980AB4" w:rsidP="00980AB4">
      <w:pPr>
        <w:rPr>
          <w:rFonts w:ascii="Tw Cen MT" w:hAnsi="Tw Cen MT" w:cs="Arial"/>
        </w:rPr>
      </w:pPr>
      <w:r w:rsidRPr="00F6660C">
        <w:rPr>
          <w:rFonts w:ascii="Tw Cen MT" w:hAnsi="Tw Cen MT" w:cs="Arial"/>
        </w:rPr>
        <w:t>DV advocates are supporting the following legislation to enhance the ability of survivors to access assistance and enhance the</w:t>
      </w:r>
      <w:r w:rsidR="006777A0">
        <w:rPr>
          <w:rFonts w:ascii="Tw Cen MT" w:hAnsi="Tw Cen MT" w:cs="Arial"/>
        </w:rPr>
        <w:t>ir</w:t>
      </w:r>
      <w:r w:rsidRPr="00F6660C">
        <w:rPr>
          <w:rFonts w:ascii="Tw Cen MT" w:hAnsi="Tw Cen MT" w:cs="Arial"/>
        </w:rPr>
        <w:t xml:space="preserve"> safety</w:t>
      </w:r>
      <w:r w:rsidR="006A7F11">
        <w:rPr>
          <w:rFonts w:ascii="Tw Cen MT" w:hAnsi="Tw Cen MT" w:cs="Arial"/>
        </w:rPr>
        <w:t xml:space="preserve">, and to support DV advocates </w:t>
      </w:r>
      <w:r w:rsidR="00F10B28">
        <w:rPr>
          <w:rFonts w:ascii="Tw Cen MT" w:hAnsi="Tw Cen MT" w:cs="Arial"/>
        </w:rPr>
        <w:t>in their work</w:t>
      </w:r>
      <w:r w:rsidRPr="00F6660C">
        <w:rPr>
          <w:rFonts w:ascii="Tw Cen MT" w:hAnsi="Tw Cen MT" w:cs="Arial"/>
        </w:rPr>
        <w:t>:</w:t>
      </w:r>
    </w:p>
    <w:p w14:paraId="51E800EE" w14:textId="3326851E" w:rsidR="00381536" w:rsidRPr="00381536" w:rsidRDefault="00381536" w:rsidP="00980AB4">
      <w:pPr>
        <w:pStyle w:val="Default"/>
        <w:numPr>
          <w:ilvl w:val="0"/>
          <w:numId w:val="20"/>
        </w:numPr>
        <w:rPr>
          <w:rFonts w:ascii="Tw Cen MT" w:hAnsi="Tw Cen MT"/>
        </w:rPr>
      </w:pPr>
      <w:r w:rsidRPr="00683B1F">
        <w:rPr>
          <w:rFonts w:ascii="Tw Cen MT" w:hAnsi="Tw Cen MT"/>
          <w:b/>
          <w:bCs/>
        </w:rPr>
        <w:t>A.8437</w:t>
      </w:r>
      <w:r w:rsidR="009E6E6F" w:rsidRPr="00683B1F">
        <w:rPr>
          <w:rFonts w:ascii="Tw Cen MT" w:hAnsi="Tw Cen MT"/>
          <w:b/>
          <w:bCs/>
        </w:rPr>
        <w:t>A</w:t>
      </w:r>
      <w:r w:rsidRPr="00683B1F">
        <w:rPr>
          <w:rFonts w:ascii="Tw Cen MT" w:hAnsi="Tw Cen MT"/>
          <w:b/>
          <w:bCs/>
        </w:rPr>
        <w:t xml:space="preserve"> Hevesi/S</w:t>
      </w:r>
      <w:r w:rsidR="00E76C91">
        <w:rPr>
          <w:rFonts w:ascii="Tw Cen MT" w:hAnsi="Tw Cen MT"/>
          <w:b/>
          <w:bCs/>
        </w:rPr>
        <w:t>.</w:t>
      </w:r>
      <w:r w:rsidR="009E6E6F" w:rsidRPr="00683B1F">
        <w:rPr>
          <w:rFonts w:ascii="Tw Cen MT" w:hAnsi="Tw Cen MT"/>
          <w:b/>
          <w:bCs/>
        </w:rPr>
        <w:t>7793A Persaud:</w:t>
      </w:r>
      <w:r w:rsidR="009E6E6F">
        <w:rPr>
          <w:rFonts w:ascii="Tw Cen MT" w:hAnsi="Tw Cen MT"/>
        </w:rPr>
        <w:t xml:space="preserve"> Would add residential and non-residential DV programs, OVS-licensed crime victim service programs and DOH-licensed rape crisis programs, among others, to designated</w:t>
      </w:r>
      <w:r w:rsidR="00683B1F">
        <w:rPr>
          <w:rFonts w:ascii="Tw Cen MT" w:hAnsi="Tw Cen MT"/>
        </w:rPr>
        <w:t xml:space="preserve"> human services programs eligible for cost-of-living adjustments.</w:t>
      </w:r>
    </w:p>
    <w:p w14:paraId="7227D083" w14:textId="0A2E740B" w:rsidR="00980AB4" w:rsidRPr="00F6660C" w:rsidRDefault="00980AB4" w:rsidP="00980AB4">
      <w:pPr>
        <w:pStyle w:val="Default"/>
        <w:numPr>
          <w:ilvl w:val="0"/>
          <w:numId w:val="20"/>
        </w:numPr>
        <w:rPr>
          <w:rFonts w:ascii="Tw Cen MT" w:hAnsi="Tw Cen MT"/>
        </w:rPr>
      </w:pPr>
      <w:r w:rsidRPr="00F6660C">
        <w:rPr>
          <w:rFonts w:ascii="Tw Cen MT" w:hAnsi="Tw Cen MT"/>
          <w:b/>
          <w:bCs/>
        </w:rPr>
        <w:t>A.3346</w:t>
      </w:r>
      <w:r w:rsidR="00E76C91">
        <w:rPr>
          <w:rFonts w:ascii="Tw Cen MT" w:hAnsi="Tw Cen MT"/>
          <w:b/>
          <w:bCs/>
        </w:rPr>
        <w:t>C</w:t>
      </w:r>
      <w:r w:rsidRPr="00F6660C">
        <w:rPr>
          <w:rFonts w:ascii="Tw Cen MT" w:hAnsi="Tw Cen MT"/>
          <w:b/>
          <w:bCs/>
        </w:rPr>
        <w:t xml:space="preserve"> Hevesi/S.3170</w:t>
      </w:r>
      <w:r w:rsidR="00E76C91">
        <w:rPr>
          <w:rFonts w:ascii="Tw Cen MT" w:hAnsi="Tw Cen MT"/>
          <w:b/>
          <w:bCs/>
        </w:rPr>
        <w:t>C</w:t>
      </w:r>
      <w:r w:rsidRPr="00F6660C">
        <w:rPr>
          <w:rFonts w:ascii="Tw Cen MT" w:hAnsi="Tw Cen MT"/>
          <w:b/>
          <w:bCs/>
        </w:rPr>
        <w:t xml:space="preserve"> Skoufis:</w:t>
      </w:r>
      <w:r w:rsidRPr="00F6660C">
        <w:rPr>
          <w:rFonts w:ascii="Tw Cen MT" w:hAnsi="Tw Cen MT"/>
        </w:rPr>
        <w:t xml:space="preserve"> </w:t>
      </w:r>
      <w:r w:rsidR="00D52021">
        <w:rPr>
          <w:rFonts w:ascii="Tw Cen MT" w:hAnsi="Tw Cen MT"/>
        </w:rPr>
        <w:t>Called Kyra’s Law, w</w:t>
      </w:r>
      <w:r w:rsidR="001F7AED">
        <w:rPr>
          <w:rFonts w:ascii="Tw Cen MT" w:hAnsi="Tw Cen MT"/>
        </w:rPr>
        <w:t xml:space="preserve">ould </w:t>
      </w:r>
      <w:r w:rsidRPr="00F6660C">
        <w:rPr>
          <w:rFonts w:ascii="Tw Cen MT" w:hAnsi="Tw Cen MT"/>
        </w:rPr>
        <w:t xml:space="preserve">require courts to conduct a </w:t>
      </w:r>
      <w:r w:rsidR="006B59D4">
        <w:rPr>
          <w:rFonts w:ascii="Tw Cen MT" w:hAnsi="Tw Cen MT"/>
        </w:rPr>
        <w:t xml:space="preserve">prompt evidentiary hearing </w:t>
      </w:r>
      <w:r w:rsidR="001F7AED">
        <w:rPr>
          <w:rFonts w:ascii="Tw Cen MT" w:hAnsi="Tw Cen MT"/>
        </w:rPr>
        <w:t xml:space="preserve">to review </w:t>
      </w:r>
      <w:r w:rsidRPr="00F6660C">
        <w:rPr>
          <w:rFonts w:ascii="Tw Cen MT" w:hAnsi="Tw Cen MT"/>
        </w:rPr>
        <w:t xml:space="preserve">any findings or allegations of DV, child abuse, </w:t>
      </w:r>
      <w:r w:rsidR="006B59D4">
        <w:rPr>
          <w:rFonts w:ascii="Tw Cen MT" w:hAnsi="Tw Cen MT"/>
        </w:rPr>
        <w:t xml:space="preserve">and child neglect </w:t>
      </w:r>
      <w:r w:rsidRPr="00F6660C">
        <w:rPr>
          <w:rFonts w:ascii="Tw Cen MT" w:hAnsi="Tw Cen MT"/>
        </w:rPr>
        <w:t>before issuing orders of custody or visitation;</w:t>
      </w:r>
    </w:p>
    <w:p w14:paraId="7C7718D6" w14:textId="0B95F8FB" w:rsidR="00980AB4" w:rsidRPr="00F6660C" w:rsidRDefault="00980AB4" w:rsidP="00980AB4">
      <w:pPr>
        <w:pStyle w:val="Default"/>
        <w:numPr>
          <w:ilvl w:val="0"/>
          <w:numId w:val="20"/>
        </w:numPr>
        <w:rPr>
          <w:rFonts w:ascii="Tw Cen MT" w:hAnsi="Tw Cen MT"/>
        </w:rPr>
      </w:pPr>
      <w:r w:rsidRPr="00F6660C">
        <w:rPr>
          <w:rFonts w:ascii="Tw Cen MT" w:hAnsi="Tw Cen MT"/>
          <w:b/>
          <w:bCs/>
        </w:rPr>
        <w:t>A.2583 Hevesi/S.15 Gounard</w:t>
      </w:r>
      <w:r w:rsidR="0044184D">
        <w:rPr>
          <w:rFonts w:ascii="Tw Cen MT" w:hAnsi="Tw Cen MT"/>
          <w:b/>
          <w:bCs/>
        </w:rPr>
        <w:t>e</w:t>
      </w:r>
      <w:r w:rsidRPr="00F6660C">
        <w:rPr>
          <w:rFonts w:ascii="Tw Cen MT" w:hAnsi="Tw Cen MT"/>
          <w:b/>
          <w:bCs/>
        </w:rPr>
        <w:t>s:</w:t>
      </w:r>
      <w:r w:rsidRPr="00F6660C">
        <w:rPr>
          <w:rFonts w:ascii="Tw Cen MT" w:hAnsi="Tw Cen MT"/>
        </w:rPr>
        <w:t xml:space="preserve"> </w:t>
      </w:r>
      <w:r w:rsidR="00AD1E2C">
        <w:rPr>
          <w:rFonts w:ascii="Tw Cen MT" w:hAnsi="Tw Cen MT"/>
        </w:rPr>
        <w:t xml:space="preserve">Called the </w:t>
      </w:r>
      <w:r w:rsidR="00510997">
        <w:rPr>
          <w:rFonts w:ascii="Tw Cen MT" w:hAnsi="Tw Cen MT"/>
        </w:rPr>
        <w:t>Securing Access to Fair and Equal (</w:t>
      </w:r>
      <w:r w:rsidR="00AD1E2C">
        <w:rPr>
          <w:rFonts w:ascii="Tw Cen MT" w:hAnsi="Tw Cen MT"/>
        </w:rPr>
        <w:t>S.A.F.E.</w:t>
      </w:r>
      <w:r w:rsidR="00510997">
        <w:rPr>
          <w:rFonts w:ascii="Tw Cen MT" w:hAnsi="Tw Cen MT"/>
        </w:rPr>
        <w:t>)</w:t>
      </w:r>
      <w:r w:rsidR="00AD1E2C">
        <w:rPr>
          <w:rFonts w:ascii="Tw Cen MT" w:hAnsi="Tw Cen MT"/>
        </w:rPr>
        <w:t xml:space="preserve"> Shelter Act, w</w:t>
      </w:r>
      <w:r w:rsidR="001F7AED">
        <w:rPr>
          <w:rFonts w:ascii="Tw Cen MT" w:hAnsi="Tw Cen MT"/>
        </w:rPr>
        <w:t xml:space="preserve">ould </w:t>
      </w:r>
      <w:r w:rsidRPr="00F6660C">
        <w:rPr>
          <w:rFonts w:ascii="Tw Cen MT" w:hAnsi="Tw Cen MT"/>
        </w:rPr>
        <w:t xml:space="preserve">expand shelter capacity for single adult DV victims by requiring the state to provide full reimbursement when a shelter room intended for double occupancy is used to house a single individual; </w:t>
      </w:r>
    </w:p>
    <w:p w14:paraId="0000D5A3" w14:textId="0E82467E" w:rsidR="00980AB4" w:rsidRDefault="00980AB4" w:rsidP="00980AB4">
      <w:pPr>
        <w:pStyle w:val="Default"/>
        <w:numPr>
          <w:ilvl w:val="0"/>
          <w:numId w:val="20"/>
        </w:numPr>
        <w:rPr>
          <w:rFonts w:ascii="Tw Cen MT" w:hAnsi="Tw Cen MT"/>
        </w:rPr>
      </w:pPr>
      <w:r w:rsidRPr="00F6660C">
        <w:rPr>
          <w:rFonts w:ascii="Tw Cen MT" w:hAnsi="Tw Cen MT"/>
          <w:b/>
          <w:bCs/>
        </w:rPr>
        <w:t>A.1309 L. Rosenthal/S.2278</w:t>
      </w:r>
      <w:r w:rsidRPr="00F6660C">
        <w:rPr>
          <w:rFonts w:ascii="Tw Cen MT" w:hAnsi="Tw Cen MT"/>
        </w:rPr>
        <w:t xml:space="preserve"> </w:t>
      </w:r>
      <w:r w:rsidRPr="00F6660C">
        <w:rPr>
          <w:rFonts w:ascii="Tw Cen MT" w:hAnsi="Tw Cen MT"/>
          <w:b/>
          <w:bCs/>
        </w:rPr>
        <w:t>Cleare:</w:t>
      </w:r>
      <w:r w:rsidRPr="00F6660C">
        <w:rPr>
          <w:rFonts w:ascii="Tw Cen MT" w:hAnsi="Tw Cen MT"/>
        </w:rPr>
        <w:t xml:space="preserve"> </w:t>
      </w:r>
      <w:r w:rsidR="00683B1F">
        <w:rPr>
          <w:rFonts w:ascii="Tw Cen MT" w:hAnsi="Tw Cen MT"/>
        </w:rPr>
        <w:t xml:space="preserve">Would </w:t>
      </w:r>
      <w:r w:rsidRPr="00F6660C">
        <w:rPr>
          <w:rFonts w:ascii="Tw Cen MT" w:hAnsi="Tw Cen MT"/>
        </w:rPr>
        <w:t>permit DV survivors to dispute coerced debt</w:t>
      </w:r>
      <w:r w:rsidR="00D52021">
        <w:rPr>
          <w:rFonts w:ascii="Tw Cen MT" w:hAnsi="Tw Cen MT"/>
        </w:rPr>
        <w:t>; and,</w:t>
      </w:r>
    </w:p>
    <w:p w14:paraId="74AF7CDF" w14:textId="14B19180" w:rsidR="00D52021" w:rsidRPr="00F6660C" w:rsidRDefault="00D52021" w:rsidP="00980AB4">
      <w:pPr>
        <w:pStyle w:val="Default"/>
        <w:numPr>
          <w:ilvl w:val="0"/>
          <w:numId w:val="20"/>
        </w:numPr>
        <w:rPr>
          <w:rFonts w:ascii="Tw Cen MT" w:hAnsi="Tw Cen MT"/>
        </w:rPr>
      </w:pPr>
      <w:r>
        <w:rPr>
          <w:rFonts w:ascii="Tw Cen MT" w:hAnsi="Tw Cen MT"/>
          <w:b/>
          <w:bCs/>
        </w:rPr>
        <w:t>A</w:t>
      </w:r>
      <w:r w:rsidR="00E76C91">
        <w:rPr>
          <w:rFonts w:ascii="Tw Cen MT" w:hAnsi="Tw Cen MT"/>
          <w:b/>
          <w:bCs/>
        </w:rPr>
        <w:t>.</w:t>
      </w:r>
      <w:r>
        <w:rPr>
          <w:rFonts w:ascii="Tw Cen MT" w:hAnsi="Tw Cen MT"/>
          <w:b/>
          <w:bCs/>
        </w:rPr>
        <w:t>9616 L.</w:t>
      </w:r>
      <w:r>
        <w:rPr>
          <w:rFonts w:ascii="Tw Cen MT" w:hAnsi="Tw Cen MT"/>
        </w:rPr>
        <w:t xml:space="preserve"> </w:t>
      </w:r>
      <w:r w:rsidRPr="008F2135">
        <w:rPr>
          <w:rFonts w:ascii="Tw Cen MT" w:hAnsi="Tw Cen MT"/>
          <w:b/>
          <w:bCs/>
        </w:rPr>
        <w:t>Rosenthal</w:t>
      </w:r>
      <w:r w:rsidR="00E76C91">
        <w:rPr>
          <w:rFonts w:ascii="Tw Cen MT" w:hAnsi="Tw Cen MT"/>
          <w:b/>
          <w:bCs/>
        </w:rPr>
        <w:t>/S</w:t>
      </w:r>
      <w:r w:rsidR="001B2E2B">
        <w:rPr>
          <w:rFonts w:ascii="Tw Cen MT" w:hAnsi="Tw Cen MT"/>
          <w:b/>
          <w:bCs/>
        </w:rPr>
        <w:t>.9174 Gounardes</w:t>
      </w:r>
      <w:r w:rsidRPr="008F2135">
        <w:rPr>
          <w:rFonts w:ascii="Tw Cen MT" w:hAnsi="Tw Cen MT"/>
          <w:b/>
          <w:bCs/>
        </w:rPr>
        <w:t>:</w:t>
      </w:r>
      <w:r>
        <w:rPr>
          <w:rFonts w:ascii="Tw Cen MT" w:hAnsi="Tw Cen MT"/>
        </w:rPr>
        <w:t xml:space="preserve"> </w:t>
      </w:r>
      <w:r w:rsidR="008F2135">
        <w:rPr>
          <w:rFonts w:ascii="Tw Cen MT" w:hAnsi="Tw Cen MT"/>
        </w:rPr>
        <w:t>Would require vehicle manufacturers and dealers to terminate an abuser’s access to remote vehicle technology at the request of a DV survivor who shows proof of ownership and an Order of Protection.</w:t>
      </w:r>
    </w:p>
    <w:p w14:paraId="3B10867D" w14:textId="77777777" w:rsidR="00980AB4" w:rsidRPr="00AA714F" w:rsidRDefault="00980AB4" w:rsidP="00980AB4">
      <w:pPr>
        <w:rPr>
          <w:rFonts w:ascii="Tw Cen MT" w:hAnsi="Tw Cen MT"/>
          <w:szCs w:val="24"/>
        </w:rPr>
      </w:pPr>
    </w:p>
    <w:p w14:paraId="04042CB3" w14:textId="46D0733C" w:rsidR="00980AB4" w:rsidRPr="00AA714F" w:rsidRDefault="008F2135" w:rsidP="00980AB4">
      <w:pPr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 xml:space="preserve">NYSCADV’s memos in support of each of these bills, and our </w:t>
      </w:r>
      <w:r w:rsidR="00405B7A">
        <w:rPr>
          <w:rFonts w:ascii="Tw Cen MT" w:hAnsi="Tw Cen MT"/>
          <w:szCs w:val="24"/>
        </w:rPr>
        <w:t>list of 2024 legislative priorities, are enclosed for your information.</w:t>
      </w:r>
      <w:r>
        <w:rPr>
          <w:rFonts w:ascii="Tw Cen MT" w:hAnsi="Tw Cen MT"/>
          <w:szCs w:val="24"/>
        </w:rPr>
        <w:t xml:space="preserve"> </w:t>
      </w:r>
      <w:r w:rsidR="00980AB4" w:rsidRPr="00AA714F">
        <w:rPr>
          <w:rFonts w:ascii="Tw Cen MT" w:hAnsi="Tw Cen MT"/>
          <w:szCs w:val="24"/>
        </w:rPr>
        <w:t xml:space="preserve">If you would like more information, I can be reached at </w:t>
      </w:r>
      <w:hyperlink r:id="rId11" w:history="1">
        <w:r w:rsidR="00622D63" w:rsidRPr="00622D63">
          <w:rPr>
            <w:rStyle w:val="Hyperlink"/>
            <w:rFonts w:ascii="Tw Cen MT" w:hAnsi="Tw Cen MT"/>
            <w:b/>
            <w:szCs w:val="24"/>
          </w:rPr>
          <w:t>jgerhardt@nyscadv.org</w:t>
        </w:r>
      </w:hyperlink>
      <w:r w:rsidR="00622D63" w:rsidRPr="00622D63">
        <w:rPr>
          <w:rFonts w:ascii="Tw Cen MT" w:hAnsi="Tw Cen MT"/>
          <w:b/>
          <w:szCs w:val="24"/>
        </w:rPr>
        <w:t xml:space="preserve">. </w:t>
      </w:r>
    </w:p>
    <w:p w14:paraId="2F3394A3" w14:textId="77777777" w:rsidR="00980AB4" w:rsidRPr="00AA714F" w:rsidRDefault="00980AB4" w:rsidP="00980AB4">
      <w:pPr>
        <w:rPr>
          <w:rFonts w:ascii="Tw Cen MT" w:hAnsi="Tw Cen MT"/>
          <w:szCs w:val="24"/>
        </w:rPr>
      </w:pPr>
    </w:p>
    <w:p w14:paraId="4F8F5850" w14:textId="287B0CC1" w:rsidR="00980AB4" w:rsidRDefault="00980AB4" w:rsidP="00980AB4">
      <w:pPr>
        <w:rPr>
          <w:rFonts w:ascii="Tw Cen MT" w:hAnsi="Tw Cen MT"/>
          <w:szCs w:val="24"/>
        </w:rPr>
      </w:pPr>
      <w:r w:rsidRPr="00E1012C">
        <w:rPr>
          <w:rFonts w:ascii="Tw Cen MT" w:hAnsi="Tw Cen MT"/>
          <w:szCs w:val="24"/>
        </w:rPr>
        <w:t xml:space="preserve">Sincerely, </w:t>
      </w:r>
    </w:p>
    <w:p w14:paraId="33063DF2" w14:textId="77777777" w:rsidR="00B13EB2" w:rsidRDefault="00B13EB2" w:rsidP="00B13EB2">
      <w:pPr>
        <w:pStyle w:val="NormalWeb"/>
        <w:rPr>
          <w:rFonts w:ascii="Tw Cen MT" w:hAnsi="Tw Cen M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2C8233" wp14:editId="404DEBBE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1552575" cy="558165"/>
            <wp:effectExtent l="0" t="0" r="9525" b="0"/>
            <wp:wrapTight wrapText="bothSides">
              <wp:wrapPolygon edited="0">
                <wp:start x="0" y="0"/>
                <wp:lineTo x="0" y="20642"/>
                <wp:lineTo x="21467" y="20642"/>
                <wp:lineTo x="21467" y="0"/>
                <wp:lineTo x="0" y="0"/>
              </wp:wrapPolygon>
            </wp:wrapTight>
            <wp:docPr id="2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63C3A" w14:textId="42760876" w:rsidR="00980AB4" w:rsidRDefault="00D04B70" w:rsidP="0075282A">
      <w:pPr>
        <w:pStyle w:val="NormalWeb"/>
      </w:pPr>
      <w:r>
        <w:rPr>
          <w:rFonts w:ascii="Tw Cen MT" w:hAnsi="Tw Cen MT"/>
        </w:rPr>
        <w:br/>
      </w:r>
      <w:r w:rsidR="00622D63">
        <w:rPr>
          <w:rFonts w:ascii="Tw Cen MT" w:hAnsi="Tw Cen MT"/>
        </w:rPr>
        <w:t>Joan Gerhardt</w:t>
      </w:r>
      <w:r w:rsidR="00B13EB2">
        <w:rPr>
          <w:rFonts w:ascii="Tw Cen MT" w:hAnsi="Tw Cen MT"/>
        </w:rPr>
        <w:br/>
      </w:r>
      <w:r w:rsidR="00622D63">
        <w:rPr>
          <w:rFonts w:ascii="Tw Cen MT" w:hAnsi="Tw Cen MT"/>
        </w:rPr>
        <w:t>Director of Public Policy and Advocacy</w:t>
      </w:r>
    </w:p>
    <w:p w14:paraId="435598D3" w14:textId="77777777" w:rsidR="007D7C56" w:rsidRPr="00E940E3" w:rsidRDefault="007D7C56" w:rsidP="007D7C56">
      <w:pPr>
        <w:pStyle w:val="NoSpacing"/>
        <w:ind w:right="720"/>
        <w:rPr>
          <w:rFonts w:ascii="Arial" w:hAnsi="Arial" w:cs="Arial"/>
          <w:szCs w:val="24"/>
        </w:rPr>
      </w:pPr>
    </w:p>
    <w:sectPr w:rsidR="007D7C56" w:rsidRPr="00E940E3" w:rsidSect="002F362F">
      <w:headerReference w:type="default" r:id="rId13"/>
      <w:footerReference w:type="even" r:id="rId14"/>
      <w:footerReference w:type="default" r:id="rId15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2D9F8" w14:textId="77777777" w:rsidR="002F362F" w:rsidRDefault="002F362F" w:rsidP="001E4B0D">
      <w:r>
        <w:separator/>
      </w:r>
    </w:p>
  </w:endnote>
  <w:endnote w:type="continuationSeparator" w:id="0">
    <w:p w14:paraId="72551026" w14:textId="77777777" w:rsidR="002F362F" w:rsidRDefault="002F362F" w:rsidP="001E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4405434"/>
      <w:docPartObj>
        <w:docPartGallery w:val="Page Numbers (Bottom of Page)"/>
        <w:docPartUnique/>
      </w:docPartObj>
    </w:sdtPr>
    <w:sdtEndPr>
      <w:rPr>
        <w:rFonts w:ascii="Tw Cen MT" w:hAnsi="Tw Cen MT"/>
        <w:sz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w Cen MT" w:hAnsi="Tw Cen MT"/>
            <w:sz w:val="20"/>
          </w:rPr>
        </w:sdtEndPr>
        <w:sdtContent>
          <w:p w14:paraId="23D43784" w14:textId="130BEECE" w:rsidR="00B23B5F" w:rsidRPr="008C6FD7" w:rsidRDefault="00B23B5F">
            <w:pPr>
              <w:pStyle w:val="Footer"/>
              <w:jc w:val="right"/>
              <w:rPr>
                <w:rFonts w:ascii="Tw Cen MT" w:hAnsi="Tw Cen MT"/>
                <w:sz w:val="20"/>
              </w:rPr>
            </w:pPr>
            <w:r w:rsidRPr="008C6FD7">
              <w:rPr>
                <w:rFonts w:ascii="Tw Cen MT" w:hAnsi="Tw Cen MT"/>
                <w:sz w:val="20"/>
              </w:rPr>
              <w:t xml:space="preserve">Page </w:t>
            </w:r>
            <w:r w:rsidRPr="008C6FD7">
              <w:rPr>
                <w:rFonts w:ascii="Tw Cen MT" w:hAnsi="Tw Cen MT"/>
                <w:b/>
                <w:bCs/>
                <w:sz w:val="20"/>
              </w:rPr>
              <w:fldChar w:fldCharType="begin"/>
            </w:r>
            <w:r w:rsidRPr="008C6FD7">
              <w:rPr>
                <w:rFonts w:ascii="Tw Cen MT" w:hAnsi="Tw Cen MT"/>
                <w:b/>
                <w:bCs/>
                <w:sz w:val="20"/>
              </w:rPr>
              <w:instrText xml:space="preserve"> PAGE </w:instrText>
            </w:r>
            <w:r w:rsidRPr="008C6FD7">
              <w:rPr>
                <w:rFonts w:ascii="Tw Cen MT" w:hAnsi="Tw Cen MT"/>
                <w:b/>
                <w:bCs/>
                <w:sz w:val="20"/>
              </w:rPr>
              <w:fldChar w:fldCharType="separate"/>
            </w:r>
            <w:r w:rsidR="00FA22ED">
              <w:rPr>
                <w:rFonts w:ascii="Tw Cen MT" w:hAnsi="Tw Cen MT"/>
                <w:b/>
                <w:bCs/>
                <w:noProof/>
                <w:sz w:val="20"/>
              </w:rPr>
              <w:t>2</w:t>
            </w:r>
            <w:r w:rsidRPr="008C6FD7">
              <w:rPr>
                <w:rFonts w:ascii="Tw Cen MT" w:hAnsi="Tw Cen MT"/>
                <w:b/>
                <w:bCs/>
                <w:sz w:val="20"/>
              </w:rPr>
              <w:fldChar w:fldCharType="end"/>
            </w:r>
            <w:r w:rsidRPr="008C6FD7">
              <w:rPr>
                <w:rFonts w:ascii="Tw Cen MT" w:hAnsi="Tw Cen MT"/>
                <w:sz w:val="20"/>
              </w:rPr>
              <w:t xml:space="preserve"> of </w:t>
            </w:r>
            <w:r w:rsidRPr="008C6FD7">
              <w:rPr>
                <w:rFonts w:ascii="Tw Cen MT" w:hAnsi="Tw Cen MT"/>
                <w:b/>
                <w:bCs/>
                <w:sz w:val="20"/>
              </w:rPr>
              <w:fldChar w:fldCharType="begin"/>
            </w:r>
            <w:r w:rsidRPr="008C6FD7">
              <w:rPr>
                <w:rFonts w:ascii="Tw Cen MT" w:hAnsi="Tw Cen MT"/>
                <w:b/>
                <w:bCs/>
                <w:sz w:val="20"/>
              </w:rPr>
              <w:instrText xml:space="preserve"> NUMPAGES  </w:instrText>
            </w:r>
            <w:r w:rsidRPr="008C6FD7">
              <w:rPr>
                <w:rFonts w:ascii="Tw Cen MT" w:hAnsi="Tw Cen MT"/>
                <w:b/>
                <w:bCs/>
                <w:sz w:val="20"/>
              </w:rPr>
              <w:fldChar w:fldCharType="separate"/>
            </w:r>
            <w:r w:rsidR="00FA22ED">
              <w:rPr>
                <w:rFonts w:ascii="Tw Cen MT" w:hAnsi="Tw Cen MT"/>
                <w:b/>
                <w:bCs/>
                <w:noProof/>
                <w:sz w:val="20"/>
              </w:rPr>
              <w:t>2</w:t>
            </w:r>
            <w:r w:rsidRPr="008C6FD7">
              <w:rPr>
                <w:rFonts w:ascii="Tw Cen MT" w:hAnsi="Tw Cen M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627DC6" w14:textId="77777777" w:rsidR="00B23B5F" w:rsidRDefault="00B23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94886" w14:textId="77777777" w:rsidR="008C6FD7" w:rsidRPr="008C6FD7" w:rsidRDefault="008C6FD7" w:rsidP="008C6FD7">
    <w:pPr>
      <w:pStyle w:val="Footer"/>
      <w:jc w:val="right"/>
      <w:rPr>
        <w:rFonts w:ascii="Tw Cen MT" w:hAnsi="Tw Cen MT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EB4BA" w14:textId="77777777" w:rsidR="002F362F" w:rsidRDefault="002F362F" w:rsidP="001E4B0D">
      <w:r>
        <w:separator/>
      </w:r>
    </w:p>
  </w:footnote>
  <w:footnote w:type="continuationSeparator" w:id="0">
    <w:p w14:paraId="2CF76BE2" w14:textId="77777777" w:rsidR="002F362F" w:rsidRDefault="002F362F" w:rsidP="001E4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EA04E" w14:textId="1ED50441" w:rsidR="008F10B1" w:rsidRPr="00165CF8" w:rsidRDefault="00DC31D6" w:rsidP="00483395">
    <w:pPr>
      <w:pStyle w:val="Footer"/>
      <w:jc w:val="right"/>
      <w:rPr>
        <w:rFonts w:ascii="Tw Cen MT" w:hAnsi="Tw Cen MT"/>
        <w:smallCaps/>
        <w:spacing w:val="10"/>
        <w:szCs w:val="24"/>
      </w:rPr>
    </w:pPr>
    <w:r w:rsidRPr="00BB6E50">
      <w:rPr>
        <w:rFonts w:ascii="Tw Cen MT" w:hAnsi="Tw Cen MT" w:cs="Arial"/>
        <w:smallCaps/>
        <w:noProof/>
        <w:spacing w:val="-6"/>
        <w:sz w:val="22"/>
        <w:szCs w:val="22"/>
      </w:rPr>
      <w:drawing>
        <wp:anchor distT="0" distB="0" distL="114300" distR="114300" simplePos="0" relativeHeight="251658240" behindDoc="0" locked="0" layoutInCell="1" allowOverlap="1" wp14:anchorId="6030C21D" wp14:editId="4993B8AA">
          <wp:simplePos x="0" y="0"/>
          <wp:positionH relativeFrom="column">
            <wp:posOffset>-91440</wp:posOffset>
          </wp:positionH>
          <wp:positionV relativeFrom="paragraph">
            <wp:posOffset>-38100</wp:posOffset>
          </wp:positionV>
          <wp:extent cx="2806700" cy="961390"/>
          <wp:effectExtent l="0" t="0" r="0" b="0"/>
          <wp:wrapSquare wrapText="bothSides"/>
          <wp:docPr id="3" name="Picture 3" descr="H:\Official Documents\NYSCADV Logo &amp; Branding\Print Logos\NYSCADV Logo Print Color Final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Official Documents\NYSCADV Logo &amp; Branding\Print Logos\NYSCADV Logo Print Color Final 20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E25">
      <w:rPr>
        <w:rFonts w:ascii="Tw Cen MT" w:hAnsi="Tw Cen MT" w:cs="Arial"/>
        <w:smallCaps/>
        <w:noProof/>
        <w:spacing w:val="-6"/>
        <w:sz w:val="22"/>
        <w:szCs w:val="22"/>
      </w:rPr>
      <w:tab/>
    </w:r>
    <w:r w:rsidR="00162E25">
      <w:rPr>
        <w:rFonts w:ascii="Tw Cen MT" w:hAnsi="Tw Cen MT" w:cs="Arial"/>
        <w:smallCaps/>
        <w:noProof/>
        <w:spacing w:val="-6"/>
        <w:sz w:val="22"/>
        <w:szCs w:val="22"/>
      </w:rPr>
      <w:tab/>
    </w:r>
    <w:r w:rsidRPr="00165CF8">
      <w:rPr>
        <w:rFonts w:ascii="Tw Cen MT" w:hAnsi="Tw Cen MT"/>
        <w:b/>
        <w:smallCaps/>
        <w:spacing w:val="-6"/>
        <w:szCs w:val="24"/>
      </w:rPr>
      <w:t xml:space="preserve"> </w:t>
    </w:r>
    <w:r w:rsidR="008F10B1" w:rsidRPr="00165CF8">
      <w:rPr>
        <w:rFonts w:ascii="Tw Cen MT" w:hAnsi="Tw Cen MT"/>
        <w:smallCaps/>
        <w:spacing w:val="10"/>
        <w:szCs w:val="24"/>
      </w:rPr>
      <w:t>119 Washington Avenue</w:t>
    </w:r>
  </w:p>
  <w:p w14:paraId="26AD400C" w14:textId="57B6F028" w:rsidR="00DC31D6" w:rsidRPr="00165CF8" w:rsidRDefault="00087610" w:rsidP="00483395">
    <w:pPr>
      <w:pStyle w:val="Footer"/>
      <w:jc w:val="right"/>
      <w:rPr>
        <w:rFonts w:ascii="Tw Cen MT" w:hAnsi="Tw Cen MT"/>
        <w:spacing w:val="10"/>
        <w:szCs w:val="24"/>
      </w:rPr>
    </w:pPr>
    <w:r w:rsidRPr="00165CF8">
      <w:rPr>
        <w:rFonts w:ascii="Tw Cen MT" w:hAnsi="Tw Cen MT"/>
        <w:smallCaps/>
        <w:spacing w:val="10"/>
        <w:szCs w:val="24"/>
      </w:rPr>
      <w:t>Albany, NY 12210</w:t>
    </w:r>
  </w:p>
  <w:p w14:paraId="28E6284C" w14:textId="35161557" w:rsidR="00DC31D6" w:rsidRPr="00165CF8" w:rsidRDefault="00DC31D6" w:rsidP="00165CF8">
    <w:pPr>
      <w:pStyle w:val="Footer"/>
      <w:spacing w:line="276" w:lineRule="auto"/>
      <w:jc w:val="right"/>
      <w:rPr>
        <w:rFonts w:ascii="Tw Cen MT" w:hAnsi="Tw Cen MT"/>
        <w:smallCaps/>
        <w:spacing w:val="20"/>
        <w:szCs w:val="24"/>
      </w:rPr>
    </w:pPr>
    <w:r w:rsidRPr="00165CF8">
      <w:rPr>
        <w:rFonts w:ascii="Tw Cen MT" w:hAnsi="Tw Cen MT"/>
        <w:smallCaps/>
        <w:spacing w:val="20"/>
        <w:szCs w:val="24"/>
      </w:rPr>
      <w:t xml:space="preserve"> </w:t>
    </w:r>
    <w:r w:rsidR="00A442EA" w:rsidRPr="00165CF8">
      <w:rPr>
        <w:rFonts w:ascii="Tw Cen MT" w:hAnsi="Tw Cen MT"/>
        <w:smallCaps/>
        <w:spacing w:val="20"/>
        <w:szCs w:val="24"/>
      </w:rPr>
      <w:t>518-4</w:t>
    </w:r>
    <w:r w:rsidR="008F10B1" w:rsidRPr="00165CF8">
      <w:rPr>
        <w:rFonts w:ascii="Tw Cen MT" w:hAnsi="Tw Cen MT"/>
        <w:smallCaps/>
        <w:spacing w:val="20"/>
        <w:szCs w:val="24"/>
      </w:rPr>
      <w:t>82-5465</w:t>
    </w:r>
  </w:p>
  <w:p w14:paraId="20A4B531" w14:textId="77777777" w:rsidR="00DC31D6" w:rsidRPr="0061053D" w:rsidRDefault="00DC31D6" w:rsidP="00483395">
    <w:pPr>
      <w:pStyle w:val="Footer"/>
      <w:jc w:val="right"/>
      <w:rPr>
        <w:rFonts w:ascii="Tw Cen MT" w:hAnsi="Tw Cen MT"/>
        <w:smallCaps/>
        <w:spacing w:val="20"/>
        <w:sz w:val="28"/>
        <w:szCs w:val="28"/>
      </w:rPr>
    </w:pPr>
  </w:p>
  <w:p w14:paraId="69C7DA83" w14:textId="77777777" w:rsidR="00DC31D6" w:rsidRPr="00165CF8" w:rsidRDefault="00396F3E" w:rsidP="004C7A54">
    <w:pPr>
      <w:pStyle w:val="Header"/>
      <w:jc w:val="right"/>
      <w:rPr>
        <w:rFonts w:ascii="Tw Cen MT" w:hAnsi="Tw Cen MT"/>
        <w:b/>
        <w:smallCaps/>
        <w:color w:val="5A31A5"/>
        <w:spacing w:val="20"/>
        <w:szCs w:val="24"/>
      </w:rPr>
    </w:pPr>
    <w:hyperlink r:id="rId2" w:history="1">
      <w:r w:rsidR="00DC31D6" w:rsidRPr="00165CF8">
        <w:rPr>
          <w:rStyle w:val="Hyperlink"/>
          <w:rFonts w:ascii="Tw Cen MT" w:hAnsi="Tw Cen MT"/>
          <w:b/>
          <w:smallCaps/>
          <w:color w:val="5A31A5"/>
          <w:spacing w:val="20"/>
          <w:szCs w:val="24"/>
        </w:rPr>
        <w:t>www.nyscadv.org</w:t>
      </w:r>
    </w:hyperlink>
  </w:p>
  <w:p w14:paraId="3316B8E5" w14:textId="77777777" w:rsidR="00DC31D6" w:rsidRDefault="00DC31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8612C"/>
    <w:multiLevelType w:val="hybridMultilevel"/>
    <w:tmpl w:val="FE64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A326F"/>
    <w:multiLevelType w:val="hybridMultilevel"/>
    <w:tmpl w:val="2FFE87CA"/>
    <w:lvl w:ilvl="0" w:tplc="D1A8D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047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EF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2E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48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C6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B8D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8F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84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CA7622"/>
    <w:multiLevelType w:val="hybridMultilevel"/>
    <w:tmpl w:val="9AA8B9C6"/>
    <w:lvl w:ilvl="0" w:tplc="C67E81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0707A"/>
    <w:multiLevelType w:val="hybridMultilevel"/>
    <w:tmpl w:val="282A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912C4"/>
    <w:multiLevelType w:val="hybridMultilevel"/>
    <w:tmpl w:val="05DAC11E"/>
    <w:lvl w:ilvl="0" w:tplc="EF60F6F6">
      <w:start w:val="1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8B10C0"/>
    <w:multiLevelType w:val="hybridMultilevel"/>
    <w:tmpl w:val="9726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A5378"/>
    <w:multiLevelType w:val="hybridMultilevel"/>
    <w:tmpl w:val="FDFEA854"/>
    <w:lvl w:ilvl="0" w:tplc="3CEA3978">
      <w:start w:val="1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53871"/>
    <w:multiLevelType w:val="hybridMultilevel"/>
    <w:tmpl w:val="C6E4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71A02"/>
    <w:multiLevelType w:val="hybridMultilevel"/>
    <w:tmpl w:val="B9E8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4361F"/>
    <w:multiLevelType w:val="hybridMultilevel"/>
    <w:tmpl w:val="1E4C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809DF"/>
    <w:multiLevelType w:val="hybridMultilevel"/>
    <w:tmpl w:val="A260CE6C"/>
    <w:lvl w:ilvl="0" w:tplc="7A3E2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CF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A9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67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EF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4B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25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E5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80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E828FA"/>
    <w:multiLevelType w:val="hybridMultilevel"/>
    <w:tmpl w:val="7532702A"/>
    <w:lvl w:ilvl="0" w:tplc="99C6B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04B6A"/>
    <w:multiLevelType w:val="hybridMultilevel"/>
    <w:tmpl w:val="EDE06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D001D"/>
    <w:multiLevelType w:val="hybridMultilevel"/>
    <w:tmpl w:val="ECB0B7C2"/>
    <w:lvl w:ilvl="0" w:tplc="D9146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C3F5A"/>
    <w:multiLevelType w:val="hybridMultilevel"/>
    <w:tmpl w:val="4226F79E"/>
    <w:lvl w:ilvl="0" w:tplc="59F69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A50CA"/>
    <w:multiLevelType w:val="hybridMultilevel"/>
    <w:tmpl w:val="0E10E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370B6"/>
    <w:multiLevelType w:val="hybridMultilevel"/>
    <w:tmpl w:val="94202DB6"/>
    <w:lvl w:ilvl="0" w:tplc="AF0CF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520D1"/>
    <w:multiLevelType w:val="hybridMultilevel"/>
    <w:tmpl w:val="0746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406E0"/>
    <w:multiLevelType w:val="hybridMultilevel"/>
    <w:tmpl w:val="DF463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1730A"/>
    <w:multiLevelType w:val="hybridMultilevel"/>
    <w:tmpl w:val="4956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1022">
    <w:abstractNumId w:val="19"/>
  </w:num>
  <w:num w:numId="2" w16cid:durableId="2125928879">
    <w:abstractNumId w:val="9"/>
  </w:num>
  <w:num w:numId="3" w16cid:durableId="439882548">
    <w:abstractNumId w:val="8"/>
  </w:num>
  <w:num w:numId="4" w16cid:durableId="687566415">
    <w:abstractNumId w:val="12"/>
  </w:num>
  <w:num w:numId="5" w16cid:durableId="715742675">
    <w:abstractNumId w:val="5"/>
  </w:num>
  <w:num w:numId="6" w16cid:durableId="323359345">
    <w:abstractNumId w:val="15"/>
  </w:num>
  <w:num w:numId="7" w16cid:durableId="1129712889">
    <w:abstractNumId w:val="1"/>
  </w:num>
  <w:num w:numId="8" w16cid:durableId="120462454">
    <w:abstractNumId w:val="10"/>
  </w:num>
  <w:num w:numId="9" w16cid:durableId="521013562">
    <w:abstractNumId w:val="7"/>
  </w:num>
  <w:num w:numId="10" w16cid:durableId="53702067">
    <w:abstractNumId w:val="16"/>
  </w:num>
  <w:num w:numId="11" w16cid:durableId="638339173">
    <w:abstractNumId w:val="3"/>
  </w:num>
  <w:num w:numId="12" w16cid:durableId="963926146">
    <w:abstractNumId w:val="17"/>
  </w:num>
  <w:num w:numId="13" w16cid:durableId="1666934201">
    <w:abstractNumId w:val="13"/>
  </w:num>
  <w:num w:numId="14" w16cid:durableId="1355962795">
    <w:abstractNumId w:val="11"/>
  </w:num>
  <w:num w:numId="15" w16cid:durableId="2118677882">
    <w:abstractNumId w:val="14"/>
  </w:num>
  <w:num w:numId="16" w16cid:durableId="1854489495">
    <w:abstractNumId w:val="2"/>
  </w:num>
  <w:num w:numId="17" w16cid:durableId="1668895493">
    <w:abstractNumId w:val="18"/>
  </w:num>
  <w:num w:numId="18" w16cid:durableId="1725056224">
    <w:abstractNumId w:val="4"/>
  </w:num>
  <w:num w:numId="19" w16cid:durableId="1354385015">
    <w:abstractNumId w:val="6"/>
  </w:num>
  <w:num w:numId="20" w16cid:durableId="49036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2F"/>
    <w:rsid w:val="00001145"/>
    <w:rsid w:val="00002FB9"/>
    <w:rsid w:val="00034483"/>
    <w:rsid w:val="00056189"/>
    <w:rsid w:val="00077DEB"/>
    <w:rsid w:val="00085B1C"/>
    <w:rsid w:val="00087610"/>
    <w:rsid w:val="00095021"/>
    <w:rsid w:val="00095F38"/>
    <w:rsid w:val="000A7AC5"/>
    <w:rsid w:val="000B4EE3"/>
    <w:rsid w:val="000C242E"/>
    <w:rsid w:val="000E7E74"/>
    <w:rsid w:val="000F5D0F"/>
    <w:rsid w:val="001040F0"/>
    <w:rsid w:val="00111129"/>
    <w:rsid w:val="00116967"/>
    <w:rsid w:val="001238F1"/>
    <w:rsid w:val="00123CDD"/>
    <w:rsid w:val="00126EE7"/>
    <w:rsid w:val="00150447"/>
    <w:rsid w:val="00157DDA"/>
    <w:rsid w:val="00162E25"/>
    <w:rsid w:val="00165CF8"/>
    <w:rsid w:val="001B015A"/>
    <w:rsid w:val="001B2E2B"/>
    <w:rsid w:val="001B66ED"/>
    <w:rsid w:val="001C3CB2"/>
    <w:rsid w:val="001C4885"/>
    <w:rsid w:val="001E42DD"/>
    <w:rsid w:val="001E4B0D"/>
    <w:rsid w:val="001F5AB9"/>
    <w:rsid w:val="001F7AED"/>
    <w:rsid w:val="00200534"/>
    <w:rsid w:val="0021230A"/>
    <w:rsid w:val="002416F2"/>
    <w:rsid w:val="0025500E"/>
    <w:rsid w:val="002832A9"/>
    <w:rsid w:val="002A2390"/>
    <w:rsid w:val="002A3D56"/>
    <w:rsid w:val="002A46B5"/>
    <w:rsid w:val="002D40CE"/>
    <w:rsid w:val="002D515E"/>
    <w:rsid w:val="002E19D1"/>
    <w:rsid w:val="002F0F45"/>
    <w:rsid w:val="002F2389"/>
    <w:rsid w:val="002F362F"/>
    <w:rsid w:val="00302D3E"/>
    <w:rsid w:val="00305091"/>
    <w:rsid w:val="00346DCD"/>
    <w:rsid w:val="00365D69"/>
    <w:rsid w:val="00381536"/>
    <w:rsid w:val="00387EA5"/>
    <w:rsid w:val="003960E6"/>
    <w:rsid w:val="003C0547"/>
    <w:rsid w:val="003C7C2F"/>
    <w:rsid w:val="003D70DB"/>
    <w:rsid w:val="003E1D18"/>
    <w:rsid w:val="00405B7A"/>
    <w:rsid w:val="00412AF2"/>
    <w:rsid w:val="004146BC"/>
    <w:rsid w:val="00434CF7"/>
    <w:rsid w:val="0044184D"/>
    <w:rsid w:val="004710B7"/>
    <w:rsid w:val="00483395"/>
    <w:rsid w:val="004862C5"/>
    <w:rsid w:val="004A7B2F"/>
    <w:rsid w:val="004C7A54"/>
    <w:rsid w:val="004D2E8C"/>
    <w:rsid w:val="004D5A22"/>
    <w:rsid w:val="004F4AA8"/>
    <w:rsid w:val="00504B05"/>
    <w:rsid w:val="00510997"/>
    <w:rsid w:val="00535F80"/>
    <w:rsid w:val="00552C52"/>
    <w:rsid w:val="0059634D"/>
    <w:rsid w:val="005A26B4"/>
    <w:rsid w:val="005B02D1"/>
    <w:rsid w:val="005B08E8"/>
    <w:rsid w:val="005B5474"/>
    <w:rsid w:val="005C18B7"/>
    <w:rsid w:val="005F351F"/>
    <w:rsid w:val="005F7A2E"/>
    <w:rsid w:val="0061053D"/>
    <w:rsid w:val="00622D63"/>
    <w:rsid w:val="006236E5"/>
    <w:rsid w:val="00632F57"/>
    <w:rsid w:val="00642D0A"/>
    <w:rsid w:val="00643BCA"/>
    <w:rsid w:val="006466E4"/>
    <w:rsid w:val="00672B05"/>
    <w:rsid w:val="006777A0"/>
    <w:rsid w:val="00683B1F"/>
    <w:rsid w:val="006977AE"/>
    <w:rsid w:val="006A7F11"/>
    <w:rsid w:val="006B59D4"/>
    <w:rsid w:val="006C6074"/>
    <w:rsid w:val="006E4F7E"/>
    <w:rsid w:val="006F3EFB"/>
    <w:rsid w:val="00716A1C"/>
    <w:rsid w:val="00726875"/>
    <w:rsid w:val="00736936"/>
    <w:rsid w:val="00737ED5"/>
    <w:rsid w:val="0074181D"/>
    <w:rsid w:val="00750EB9"/>
    <w:rsid w:val="0075282A"/>
    <w:rsid w:val="0078736E"/>
    <w:rsid w:val="00790ED0"/>
    <w:rsid w:val="007D243A"/>
    <w:rsid w:val="007D7C56"/>
    <w:rsid w:val="008366D4"/>
    <w:rsid w:val="0084794D"/>
    <w:rsid w:val="0085082B"/>
    <w:rsid w:val="00850C02"/>
    <w:rsid w:val="00870041"/>
    <w:rsid w:val="00877733"/>
    <w:rsid w:val="008801A7"/>
    <w:rsid w:val="008976F2"/>
    <w:rsid w:val="008B7F4F"/>
    <w:rsid w:val="008C0732"/>
    <w:rsid w:val="008C07FD"/>
    <w:rsid w:val="008C6FD7"/>
    <w:rsid w:val="008E623F"/>
    <w:rsid w:val="008F10B1"/>
    <w:rsid w:val="008F2135"/>
    <w:rsid w:val="008F4ADA"/>
    <w:rsid w:val="00980AB4"/>
    <w:rsid w:val="00981F84"/>
    <w:rsid w:val="00986ED2"/>
    <w:rsid w:val="009923E1"/>
    <w:rsid w:val="009A2494"/>
    <w:rsid w:val="009B650E"/>
    <w:rsid w:val="009B75FA"/>
    <w:rsid w:val="009C634F"/>
    <w:rsid w:val="009E5E45"/>
    <w:rsid w:val="009E6E6F"/>
    <w:rsid w:val="009F7E56"/>
    <w:rsid w:val="00A00A58"/>
    <w:rsid w:val="00A03460"/>
    <w:rsid w:val="00A137AC"/>
    <w:rsid w:val="00A20F0C"/>
    <w:rsid w:val="00A36730"/>
    <w:rsid w:val="00A442EA"/>
    <w:rsid w:val="00A81B96"/>
    <w:rsid w:val="00A845DB"/>
    <w:rsid w:val="00A87287"/>
    <w:rsid w:val="00A97C4C"/>
    <w:rsid w:val="00AA6767"/>
    <w:rsid w:val="00AB253D"/>
    <w:rsid w:val="00AD1E2C"/>
    <w:rsid w:val="00AE2E5A"/>
    <w:rsid w:val="00AE5A94"/>
    <w:rsid w:val="00AF5606"/>
    <w:rsid w:val="00B076B1"/>
    <w:rsid w:val="00B13EB2"/>
    <w:rsid w:val="00B14D5C"/>
    <w:rsid w:val="00B23B5F"/>
    <w:rsid w:val="00B50EAF"/>
    <w:rsid w:val="00B75753"/>
    <w:rsid w:val="00B8247F"/>
    <w:rsid w:val="00B83F5D"/>
    <w:rsid w:val="00BB6E50"/>
    <w:rsid w:val="00BE3893"/>
    <w:rsid w:val="00C21300"/>
    <w:rsid w:val="00C5330B"/>
    <w:rsid w:val="00C5637C"/>
    <w:rsid w:val="00C726F3"/>
    <w:rsid w:val="00CA4592"/>
    <w:rsid w:val="00CC31F4"/>
    <w:rsid w:val="00D04B70"/>
    <w:rsid w:val="00D10981"/>
    <w:rsid w:val="00D33AE6"/>
    <w:rsid w:val="00D46EE1"/>
    <w:rsid w:val="00D52021"/>
    <w:rsid w:val="00D830F8"/>
    <w:rsid w:val="00D93256"/>
    <w:rsid w:val="00D948F5"/>
    <w:rsid w:val="00D950B6"/>
    <w:rsid w:val="00DA3054"/>
    <w:rsid w:val="00DA54C6"/>
    <w:rsid w:val="00DB4D35"/>
    <w:rsid w:val="00DB4E3F"/>
    <w:rsid w:val="00DB69BE"/>
    <w:rsid w:val="00DC31D6"/>
    <w:rsid w:val="00E16B8D"/>
    <w:rsid w:val="00E16E79"/>
    <w:rsid w:val="00E17800"/>
    <w:rsid w:val="00E35D9F"/>
    <w:rsid w:val="00E4411F"/>
    <w:rsid w:val="00E63131"/>
    <w:rsid w:val="00E76C91"/>
    <w:rsid w:val="00E83859"/>
    <w:rsid w:val="00EB3709"/>
    <w:rsid w:val="00EE0B27"/>
    <w:rsid w:val="00EE1D6C"/>
    <w:rsid w:val="00EF015C"/>
    <w:rsid w:val="00EF2BBE"/>
    <w:rsid w:val="00F001EB"/>
    <w:rsid w:val="00F10B28"/>
    <w:rsid w:val="00F116E6"/>
    <w:rsid w:val="00F1563A"/>
    <w:rsid w:val="00F20F35"/>
    <w:rsid w:val="00F24538"/>
    <w:rsid w:val="00F40BF0"/>
    <w:rsid w:val="00F51F7B"/>
    <w:rsid w:val="00F56DBA"/>
    <w:rsid w:val="00F6054F"/>
    <w:rsid w:val="00F6660C"/>
    <w:rsid w:val="00F67851"/>
    <w:rsid w:val="00F969D9"/>
    <w:rsid w:val="00FA22ED"/>
    <w:rsid w:val="00FB4DC3"/>
    <w:rsid w:val="00FB7196"/>
    <w:rsid w:val="00FC111E"/>
    <w:rsid w:val="00FC660E"/>
    <w:rsid w:val="00FD0229"/>
    <w:rsid w:val="00FD5B19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A54F49"/>
  <w15:docId w15:val="{5CDA815F-BB33-4647-85BA-AA8F8133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0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500E"/>
    <w:pPr>
      <w:keepNext/>
      <w:outlineLvl w:val="0"/>
    </w:pPr>
    <w:rPr>
      <w:rFonts w:cs="Arial"/>
      <w:i/>
      <w:i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4B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0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E4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0D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4833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C7A5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1E42DD"/>
    <w:pPr>
      <w:ind w:left="720"/>
      <w:contextualSpacing/>
    </w:pPr>
  </w:style>
  <w:style w:type="paragraph" w:customStyle="1" w:styleId="Default">
    <w:name w:val="Default"/>
    <w:rsid w:val="00F245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EF2BBE"/>
    <w:rPr>
      <w:rFonts w:asciiTheme="minorHAnsi" w:eastAsiaTheme="minorHAnsi" w:hAnsiTheme="minorHAnsi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0981"/>
    <w:rPr>
      <w:rFonts w:ascii="Trebuchet MS" w:hAnsi="Trebuchet M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981"/>
    <w:rPr>
      <w:rFonts w:ascii="Trebuchet MS" w:hAnsi="Trebuchet MS"/>
    </w:rPr>
  </w:style>
  <w:style w:type="character" w:styleId="FootnoteReference">
    <w:name w:val="footnote reference"/>
    <w:basedOn w:val="DefaultParagraphFont"/>
    <w:uiPriority w:val="99"/>
    <w:semiHidden/>
    <w:unhideWhenUsed/>
    <w:rsid w:val="00D1098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22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541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8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921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gerhardt@nyscadv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server\data\Official%20Documents\NYSCADV%20Logo%20&amp;%20Branding\2015%20Letterhead\www.nyscadv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56a43b-28d6-4ee1-bffc-228d738792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80513EDA5A447A301608ABAB77763" ma:contentTypeVersion="15" ma:contentTypeDescription="Create a new document." ma:contentTypeScope="" ma:versionID="7bf9c0431feb23ffac2a4ac1f586377c">
  <xsd:schema xmlns:xsd="http://www.w3.org/2001/XMLSchema" xmlns:xs="http://www.w3.org/2001/XMLSchema" xmlns:p="http://schemas.microsoft.com/office/2006/metadata/properties" xmlns:ns3="af56a43b-28d6-4ee1-bffc-228d738792cd" xmlns:ns4="1cde3e53-f16c-41ee-828b-50152af37e09" targetNamespace="http://schemas.microsoft.com/office/2006/metadata/properties" ma:root="true" ma:fieldsID="ede18f1a1e08b3962441ea18cd9a8f5f" ns3:_="" ns4:_="">
    <xsd:import namespace="af56a43b-28d6-4ee1-bffc-228d738792cd"/>
    <xsd:import namespace="1cde3e53-f16c-41ee-828b-50152af37e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6a43b-28d6-4ee1-bffc-228d73879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3e53-f16c-41ee-828b-50152af37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86B56D-B030-425F-90A4-C78F85F40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DC563-7CC5-4028-AE67-46977CD7C696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cde3e53-f16c-41ee-828b-50152af37e09"/>
    <ds:schemaRef ds:uri="af56a43b-28d6-4ee1-bffc-228d738792c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FBC7825-29BC-4022-A18D-0AA1A044B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6a43b-28d6-4ee1-bffc-228d738792cd"/>
    <ds:schemaRef ds:uri="1cde3e53-f16c-41ee-828b-50152af37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F4B64F-DFAF-4BD6-BCF0-635F9A360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Gerhardt</dc:creator>
  <cp:lastModifiedBy>Joan Gerhardt</cp:lastModifiedBy>
  <cp:revision>13</cp:revision>
  <cp:lastPrinted>2024-05-08T19:01:00Z</cp:lastPrinted>
  <dcterms:created xsi:type="dcterms:W3CDTF">2024-05-06T13:56:00Z</dcterms:created>
  <dcterms:modified xsi:type="dcterms:W3CDTF">2024-05-08T19:01:00Z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0x01010062380513EDA5A447A301608ABAB77763</vt:lpwstr>
  </property>
  <property fmtid="{D5CDD505-2E9C-101B-9397-08002B2CF9AE}" pid="3" name="GrammarlyDocumentId">
    <vt:lpwstr>888adc1e55dc746635b0dea892e2afb9328e6f89e5918eb31099a2ab0d2711e1</vt:lpwstr>
  </property>
</Properties>
</file>